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DA7C" w14:textId="77777777" w:rsidR="00777CD0" w:rsidRDefault="000E2390" w:rsidP="00D7768F">
      <w:pPr>
        <w:spacing w:after="0" w:line="276" w:lineRule="auto"/>
        <w:ind w:left="510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Załącznik </w:t>
      </w:r>
    </w:p>
    <w:p w14:paraId="3A72F301" w14:textId="62D18590" w:rsidR="000E2390" w:rsidRPr="000E2390" w:rsidRDefault="000E2390" w:rsidP="00D7768F">
      <w:pPr>
        <w:spacing w:after="0" w:line="276" w:lineRule="auto"/>
        <w:ind w:left="510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Zarządzenia</w:t>
      </w:r>
      <w:r w:rsidR="00777CD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nr </w:t>
      </w:r>
      <w:r w:rsidR="00162B1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D3013A5" w14:textId="76488154" w:rsidR="000E2390" w:rsidRPr="000E2390" w:rsidRDefault="000E2390" w:rsidP="00D7768F">
      <w:pPr>
        <w:spacing w:after="0" w:line="276" w:lineRule="auto"/>
        <w:ind w:left="510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dnia </w:t>
      </w:r>
      <w:r w:rsidR="00162B1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  <w:r w:rsidR="00777CD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</w:t>
      </w:r>
      <w:r w:rsidR="00814C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r. </w:t>
      </w:r>
    </w:p>
    <w:p w14:paraId="393AAE36" w14:textId="1ECFBF14" w:rsidR="000E2390" w:rsidRPr="000E2390" w:rsidRDefault="000E2390" w:rsidP="00D7768F">
      <w:pPr>
        <w:spacing w:after="0" w:line="276" w:lineRule="auto"/>
        <w:ind w:left="510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sprawie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wprowadzenia Procedury obsługi klienta</w:t>
      </w:r>
      <w:r w:rsidR="00777CD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ze szczególnymi potrzebami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Urzędzie Gminy Hrubieszów.</w:t>
      </w:r>
    </w:p>
    <w:p w14:paraId="663A3E51" w14:textId="192FFF84" w:rsidR="00936487" w:rsidRPr="00936487" w:rsidRDefault="00936487" w:rsidP="00D7768F">
      <w:pPr>
        <w:pStyle w:val="Nagwek1"/>
        <w:spacing w:line="276" w:lineRule="auto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</w:pPr>
      <w:r w:rsidRPr="00936487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  <w:t xml:space="preserve">Procedura </w:t>
      </w:r>
      <w:r w:rsidR="00D7768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  <w:t>o</w:t>
      </w:r>
      <w:r w:rsidRPr="00936487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  <w:t xml:space="preserve">bsługi klienta ze szczególnymi potrzebami </w:t>
      </w:r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  <w:br/>
      </w:r>
      <w:r w:rsidRPr="00936487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  <w:t>w Urzędzie Gminy Hrubieszów</w:t>
      </w:r>
    </w:p>
    <w:p w14:paraId="552FD339" w14:textId="77777777" w:rsidR="00A36778" w:rsidRPr="00162B15" w:rsidRDefault="000E2390" w:rsidP="00D7768F">
      <w:pPr>
        <w:spacing w:before="24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Niniejsza procedura zwana dalej „Procedurą” określa standard obsługi osób ze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szczególnymi potrzebami </w:t>
      </w:r>
      <w:r w:rsidR="00A3677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A36778">
        <w:rPr>
          <w:rFonts w:ascii="Arial" w:eastAsia="Times New Roman" w:hAnsi="Arial" w:cs="Arial"/>
          <w:color w:val="7030A0"/>
          <w:kern w:val="0"/>
          <w:sz w:val="24"/>
          <w:szCs w:val="24"/>
          <w:lang w:eastAsia="pl-PL"/>
          <w14:ligatures w14:val="none"/>
        </w:rPr>
        <w:t xml:space="preserve"> </w:t>
      </w:r>
      <w:r w:rsidR="00A36778" w:rsidRPr="00162B1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Urzędzie Gminy w Hrubieszowie.</w:t>
      </w:r>
    </w:p>
    <w:p w14:paraId="413D66B8" w14:textId="2A55B68D" w:rsidR="001C26DF" w:rsidRPr="002840F2" w:rsidRDefault="000E2390" w:rsidP="00027F76">
      <w:pPr>
        <w:spacing w:after="120" w:line="276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27F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1</w:t>
      </w:r>
      <w:r w:rsidR="00783B0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Pr="000E239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Wstęp</w:t>
      </w:r>
    </w:p>
    <w:p w14:paraId="4540B850" w14:textId="0C90CD03" w:rsidR="002840F2" w:rsidRPr="00985177" w:rsidRDefault="000E2390" w:rsidP="00D7768F">
      <w:pPr>
        <w:pStyle w:val="Akapitzlist"/>
        <w:numPr>
          <w:ilvl w:val="0"/>
          <w:numId w:val="10"/>
        </w:numPr>
        <w:spacing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Urząd Gminy w </w:t>
      </w:r>
      <w:r w:rsidR="002840F2"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Hrubieszowie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zwany dalej „Urzędem", zapewnia</w:t>
      </w:r>
      <w:r w:rsidR="008904C7"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dostępność do świadczonych usług osobom z niepełnosprawnościami</w:t>
      </w:r>
      <w:r w:rsidR="008904C7"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szczególnymi </w:t>
      </w:r>
      <w:r w:rsid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otrzebami w myśl Ustawy z dnia 19 lipca 2019 r. o zapewnianiu</w:t>
      </w:r>
      <w:r w:rsidR="002840F2"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dostępności osobom ze szczególnymi potrzebami zwanej dalej „Ustawą”.</w:t>
      </w:r>
    </w:p>
    <w:p w14:paraId="288B3E71" w14:textId="361BA1A6" w:rsidR="002840F2" w:rsidRPr="00985177" w:rsidRDefault="000E2390" w:rsidP="00D7768F">
      <w:pPr>
        <w:pStyle w:val="Akapitzlist"/>
        <w:numPr>
          <w:ilvl w:val="0"/>
          <w:numId w:val="10"/>
        </w:numPr>
        <w:spacing w:before="24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Osobą ze szczególnymi potrzebami jest każda osoba, która ze względu na swoje</w:t>
      </w:r>
      <w:r w:rsidR="002840F2"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cechy zewnętrzne lub wewnętrzne, albo ze względu na okoliczności, w których</w:t>
      </w:r>
      <w:r w:rsidR="002840F2"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się znajduje, musi podjąć dodatkowe działania lub zastosować dodatkowe środki</w:t>
      </w:r>
      <w:r w:rsidR="002840F2"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celu przezwyciężenia bariery, aby uczestniczyć w różnych sferach życia</w:t>
      </w:r>
      <w:r w:rsidR="002840F2"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507C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zasadzie równości z innymi osobami</w:t>
      </w:r>
      <w:r w:rsidR="00A661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4BEFA09" w14:textId="07F911B2" w:rsidR="008904C7" w:rsidRPr="00985177" w:rsidRDefault="008904C7" w:rsidP="00D7768F">
      <w:pPr>
        <w:pStyle w:val="Akapitzlist"/>
        <w:numPr>
          <w:ilvl w:val="0"/>
          <w:numId w:val="10"/>
        </w:numPr>
        <w:spacing w:before="24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Przez osoby ze szczególnymi potrzebami należy rozumieć m.in.: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1) osoby mające trudności w poruszaniu się,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2) osoby niewidome i słabowidzące,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3) osoby głuchoniewidome,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4) osoby głuche i słabosłyszące,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5) osoby w spektrum autyzmu,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6) osoby z niepełnosprawnością intelektualną,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7) osoby starsze,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8) opiekunowie z małymi dziećmi,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9) dzieci,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10) osoby z epilepsją,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11) osoby z czasową niepełnosprawnością,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12) kobiety w ciąży,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13) osoby z nieporęcznym bagażem,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14) obcokrajowcy nieznających języka polskiego,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15) oraz wszystkie inne osoby, które ze względu na ograniczenia fizyczne mogą mieć problem z poruszaniem się, zdobyciem informacji i uczestniczeniem </w:t>
      </w:r>
      <w:r w:rsidR="00507C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w wydarzeniach, z wyłączeniem osób będących pod</w:t>
      </w:r>
      <w:r w:rsid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wpływem środków </w:t>
      </w:r>
      <w:r w:rsid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durzających.</w:t>
      </w:r>
    </w:p>
    <w:p w14:paraId="0B594821" w14:textId="0D5C634C" w:rsidR="00D7768F" w:rsidRPr="00D7768F" w:rsidRDefault="000E2390" w:rsidP="00D7768F">
      <w:pPr>
        <w:pStyle w:val="Akapitzlist"/>
        <w:numPr>
          <w:ilvl w:val="0"/>
          <w:numId w:val="10"/>
        </w:numPr>
        <w:spacing w:before="240" w:line="276" w:lineRule="auto"/>
        <w:ind w:left="425" w:hanging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Procedura określa sposób postępowania wszystkich pracowników Urzędu</w:t>
      </w:r>
      <w:r w:rsidR="00507C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stosunku do wyżej wymienionych osób.</w:t>
      </w:r>
    </w:p>
    <w:p w14:paraId="55E143BC" w14:textId="7CA6710B" w:rsidR="002E40A0" w:rsidRPr="001C26DF" w:rsidRDefault="005D77AA" w:rsidP="00027F76">
      <w:pPr>
        <w:pStyle w:val="Akapitzlist"/>
        <w:tabs>
          <w:tab w:val="center" w:pos="142"/>
          <w:tab w:val="left" w:pos="7380"/>
        </w:tabs>
        <w:spacing w:after="0" w:line="276" w:lineRule="auto"/>
        <w:ind w:left="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547CED70" w14:textId="312376A1" w:rsidR="002E40A0" w:rsidRDefault="00783B0E" w:rsidP="00027F76">
      <w:pPr>
        <w:pStyle w:val="Akapitzlist"/>
        <w:spacing w:after="120" w:line="276" w:lineRule="auto"/>
        <w:ind w:left="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C26D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2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0E2390" w:rsidRPr="002E40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Ogólne etapy obsługi</w:t>
      </w:r>
      <w:r w:rsidR="00027F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E2390" w:rsidRPr="002E40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osób z niepełnosprawnościami i szczególnymi potrzebami</w:t>
      </w:r>
    </w:p>
    <w:p w14:paraId="7FA5874A" w14:textId="77777777" w:rsidR="00985177" w:rsidRDefault="000E2390" w:rsidP="00D7768F">
      <w:pPr>
        <w:spacing w:before="24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Osoba z niepełnosprawnością lub szczególnymi potrzebami, jeżeli jest taka</w:t>
      </w:r>
      <w:r w:rsidR="004154D2"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konieczność, uzyskuje pomoc od wszystkich pracowników Urzędu.</w:t>
      </w:r>
    </w:p>
    <w:p w14:paraId="27382D2F" w14:textId="17F9E0F5" w:rsidR="00744E0A" w:rsidRPr="00985177" w:rsidRDefault="000E2390" w:rsidP="00D7768F">
      <w:pPr>
        <w:pStyle w:val="Akapitzlist"/>
        <w:numPr>
          <w:ilvl w:val="0"/>
          <w:numId w:val="8"/>
        </w:numPr>
        <w:spacing w:before="24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celu ustalenia charakteru załatwianej sprawy pracownik np.</w:t>
      </w:r>
      <w:r w:rsidR="004154D2"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Sekretariatu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lub inny pracownik przeprowadza wstępną rozmowę</w:t>
      </w:r>
      <w:r w:rsidR="004154D2"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851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klientem.</w:t>
      </w:r>
    </w:p>
    <w:p w14:paraId="4866E81F" w14:textId="6D9DF409" w:rsidR="00744E0A" w:rsidRDefault="000E2390" w:rsidP="00D7768F">
      <w:pPr>
        <w:pStyle w:val="Akapitzlist"/>
        <w:numPr>
          <w:ilvl w:val="0"/>
          <w:numId w:val="8"/>
        </w:numPr>
        <w:spacing w:before="24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840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 ustaleniu przedmiotu sprawy pracownik, o którym mowa w ust.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840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1, informuje pracownika Urzędu właściwego do rozpatrzenia sprawy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840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konieczności obsłużenia osoby z niepełnosprawnością lub szczególnymi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840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potrzebami bez zbędnej zwłoki.</w:t>
      </w:r>
    </w:p>
    <w:p w14:paraId="05A4EB91" w14:textId="77777777" w:rsidR="00985177" w:rsidRDefault="000E2390" w:rsidP="00D7768F">
      <w:pPr>
        <w:pStyle w:val="Akapitzlist"/>
        <w:numPr>
          <w:ilvl w:val="0"/>
          <w:numId w:val="8"/>
        </w:numPr>
        <w:spacing w:before="24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840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Każdy pracownik Urzędu udziela klientowi z niepełnosprawnością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840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 szczególnymi potrzebami pomocy w dotarciu do miejsca obsługi,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840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razie takiej konieczności udaje się do niego i realizuje sprawę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840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miejscu, a po zakończonej obsłudze pomaga w opuszczeniu budynku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840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Urzędu.</w:t>
      </w:r>
    </w:p>
    <w:p w14:paraId="225CE791" w14:textId="26467B67" w:rsidR="00985177" w:rsidRDefault="000E2390" w:rsidP="00D7768F">
      <w:pPr>
        <w:pStyle w:val="Akapitzlist"/>
        <w:numPr>
          <w:ilvl w:val="0"/>
          <w:numId w:val="8"/>
        </w:numPr>
        <w:spacing w:before="24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840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Urząd </w:t>
      </w:r>
      <w:r w:rsidRPr="00620F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art. 6 pkt. 3 lit. d </w:t>
      </w:r>
      <w:r w:rsidR="00A6617C" w:rsidRPr="00620F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Pr="00620F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staw</w:t>
      </w:r>
      <w:r w:rsidR="00A6617C" w:rsidRPr="00620F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Pr="00620F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840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zapewnia, na wniosek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840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ze szczególnymi potrzebami, komunikację w formie określonej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840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tym wniosku</w:t>
      </w:r>
      <w:r w:rsidR="00027F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662636F" w14:textId="0E5A51D6" w:rsidR="004154D2" w:rsidRDefault="000E2390" w:rsidP="00707606">
      <w:pPr>
        <w:pStyle w:val="Akapitzlist"/>
        <w:numPr>
          <w:ilvl w:val="0"/>
          <w:numId w:val="8"/>
        </w:numPr>
        <w:spacing w:before="240" w:line="276" w:lineRule="auto"/>
        <w:ind w:left="425" w:hanging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Zgłoszenie chęci skorzystania ze świadczenia usług można wnieść: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0E239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a.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osobiście w 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Sekretariacie Urzędu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0E239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b.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pisemnie za pośrednictwem poczty: Urząd Gminy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Hrubieszowie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814C9C"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ul.</w:t>
      </w:r>
      <w:r w:rsidR="00814C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Bolesława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Prusa 8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2-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00 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Hrubieszów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4154D2" w:rsidRPr="0098517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</w:t>
      </w:r>
      <w:r w:rsidRPr="000E239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 pomocą poczty elektronicznej e-mail.: </w:t>
      </w:r>
      <w:hyperlink r:id="rId8" w:history="1">
        <w:r w:rsidR="004154D2" w:rsidRPr="008A599F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sekretariat@hrubieszow-gmina.pl</w:t>
        </w:r>
      </w:hyperlink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4154D2" w:rsidRPr="0098517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</w:t>
      </w:r>
      <w:r w:rsidRPr="000E239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adres skrytki </w:t>
      </w:r>
      <w:proofErr w:type="spellStart"/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ePUAP</w:t>
      </w:r>
      <w:proofErr w:type="spellEnd"/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: </w:t>
      </w:r>
      <w:r w:rsidR="004154D2" w:rsidRP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="004154D2" w:rsidRP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ughrubieszow</w:t>
      </w:r>
      <w:proofErr w:type="spellEnd"/>
      <w:r w:rsidR="004154D2" w:rsidRP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="004154D2" w:rsidRPr="00415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SkrytkaESP</w:t>
      </w:r>
      <w:proofErr w:type="spellEnd"/>
    </w:p>
    <w:p w14:paraId="7D03847A" w14:textId="780BC00C" w:rsidR="001C26DF" w:rsidRPr="00783B0E" w:rsidRDefault="000E2390" w:rsidP="00783B0E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783B0E">
        <w:rPr>
          <w:rFonts w:ascii="Arial" w:hAnsi="Arial" w:cs="Arial"/>
          <w:b/>
          <w:bCs/>
          <w:sz w:val="24"/>
          <w:szCs w:val="24"/>
          <w:lang w:eastAsia="pl-PL"/>
        </w:rPr>
        <w:t>§ 3</w:t>
      </w:r>
      <w:r w:rsidR="00783B0E" w:rsidRPr="00783B0E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Pr="00783B0E">
        <w:rPr>
          <w:rFonts w:ascii="Arial" w:hAnsi="Arial" w:cs="Arial"/>
          <w:b/>
          <w:bCs/>
          <w:sz w:val="24"/>
          <w:szCs w:val="24"/>
          <w:lang w:eastAsia="pl-PL"/>
        </w:rPr>
        <w:t>Podstawowe zasady obsługi osób ze szczególnymi potrzebami</w:t>
      </w:r>
    </w:p>
    <w:p w14:paraId="6C3A4F98" w14:textId="77777777" w:rsidR="00D47EA1" w:rsidRDefault="000E2390" w:rsidP="00D7768F">
      <w:pPr>
        <w:pStyle w:val="Akapitzlist"/>
        <w:numPr>
          <w:ilvl w:val="0"/>
          <w:numId w:val="6"/>
        </w:numPr>
        <w:spacing w:before="24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Zanim pomożesz – zapytaj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Nie każda osoba ze szczególnymi potrzebami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potrzebuje pomocy. W przyjaznym otoczeniu zwykle sama świetnie daje sobie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radę. Pracownicy Urzędu powinni kierować się w pierwszej kolejności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poszanowaniem dla niezależności klienta ze szczególnymi potrzebami.</w:t>
      </w:r>
    </w:p>
    <w:p w14:paraId="299398BB" w14:textId="77777777" w:rsidR="00D47EA1" w:rsidRDefault="000E2390" w:rsidP="00D7768F">
      <w:pPr>
        <w:pStyle w:val="Akapitzlist"/>
        <w:numPr>
          <w:ilvl w:val="0"/>
          <w:numId w:val="6"/>
        </w:numPr>
        <w:spacing w:before="24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Uważaj z inicjowaniem kontaktu fizycznego – bądź taktowny. Niektóre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osoby</w:t>
      </w:r>
      <w:r w:rsid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ze szczególnymi potrzebami utrzymują równowagę dzięki swoim rękom,</w:t>
      </w:r>
      <w:r w:rsidR="00BD1207"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dlatego chwytanie ich za nie – nawet w celu udzielenia pomocy – może</w:t>
      </w:r>
      <w:r w:rsidR="00BD1207"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tę równowagę zakłócić. Unikaj dotykania ich wózka, kul czy laski. Osoby</w:t>
      </w:r>
      <w:r w:rsidR="00BD1207"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ze szczególnymi potrzebami uważają je za część ich przestrzeni osobistej.</w:t>
      </w:r>
      <w:r w:rsidR="00BD1207"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Zawsze pytaj o zgodę na kontakt fizyczny.</w:t>
      </w:r>
    </w:p>
    <w:p w14:paraId="5BA4EB86" w14:textId="3923BF0C" w:rsidR="00D47EA1" w:rsidRDefault="000E2390" w:rsidP="00D7768F">
      <w:pPr>
        <w:pStyle w:val="Akapitzlist"/>
        <w:numPr>
          <w:ilvl w:val="0"/>
          <w:numId w:val="6"/>
        </w:numPr>
        <w:spacing w:before="24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Zwracaj się zawsze bezpośrednio do klienta ze szczególnymi potrzebami.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prowadź rozmowy z jej asystentem, przewodnikiem, tłumaczem języka</w:t>
      </w:r>
      <w:r w:rsidR="00BD1207"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migowego. Zwracaj się do klienta ze szczególnymi potrzebami jak do każdego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innego klienta, nie skupiając się na jej niepełnosprawności. Wiele osób</w:t>
      </w:r>
      <w:r w:rsidR="00BD1207"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507C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niepełnosprawnościami nie chce specjalnego traktowania, uważają to</w:t>
      </w:r>
      <w:r w:rsidR="00BD1207"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 przejaw dyskryminacji. Wychodź naprzeciw szczególnym potrzebom klienta</w:t>
      </w:r>
      <w:r w:rsidR="00BD1207"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507C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ograniczeniom wynikającym z jego niepełnosprawności, jednocześnie starając</w:t>
      </w:r>
      <w:r w:rsidR="00BD1207"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się go traktować w sposób naturalny i na równi z innymi klientami.</w:t>
      </w:r>
    </w:p>
    <w:p w14:paraId="7AF57289" w14:textId="2B6500BC" w:rsidR="00D47EA1" w:rsidRDefault="000E2390" w:rsidP="00D7768F">
      <w:pPr>
        <w:pStyle w:val="Akapitzlist"/>
        <w:numPr>
          <w:ilvl w:val="0"/>
          <w:numId w:val="6"/>
        </w:numPr>
        <w:spacing w:before="24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rób żadnych założeń</w:t>
      </w:r>
      <w:r w:rsidRPr="00744E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Każda osoba ze szczególnymi potrzebami, nawet</w:t>
      </w:r>
      <w:r w:rsid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pozornie identyczną, jest inna i ma inne potrzeby. Ona najlepiej wie, co może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zrobić, a co w jej przypadku jest niemożliwe. Nie podejmuj za klienta</w:t>
      </w:r>
      <w:r w:rsidR="00BD1207"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507C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niepełnosprawnością decyzji co do tego, w jakich czynnościach nie może</w:t>
      </w:r>
      <w:r w:rsidR="00BD1207"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uczestniczyć, gdyż wykluczanie go – nawet kierując się chęcią pomocy – może</w:t>
      </w:r>
      <w:r w:rsid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być przejawem dyskryminacji.</w:t>
      </w:r>
    </w:p>
    <w:p w14:paraId="1F352309" w14:textId="2EEBAF46" w:rsidR="00D47EA1" w:rsidRDefault="000E2390" w:rsidP="00D7768F">
      <w:pPr>
        <w:pStyle w:val="Akapitzlist"/>
        <w:numPr>
          <w:ilvl w:val="0"/>
          <w:numId w:val="6"/>
        </w:numPr>
        <w:spacing w:before="24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Reaguj uprzejmie na prośby osób ze szczególnymi potrzebami</w:t>
      </w:r>
      <w:r w:rsidRPr="00744E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Jeśli klient</w:t>
      </w:r>
      <w:r w:rsid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ze szczególnymi potrzebami prosi o pewne zmiany i dostosowanie się do jego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szczególnych potrzeb, nie traktuj tego jako skargi. Świadczy to raczej o tym,</w:t>
      </w:r>
      <w:r w:rsidR="00BD1207"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507C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że na tyle dobrze czuje się w danej instytucji, by ujawniać otwarcie swoje</w:t>
      </w:r>
      <w:r w:rsidR="00BD1207"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potrzeby. Staraj się w miarę dostępnych możliwości reagować pozytywnie</w:t>
      </w:r>
      <w:r w:rsidR="00BD1207"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prośby klienta.</w:t>
      </w:r>
    </w:p>
    <w:p w14:paraId="26167D7D" w14:textId="5CD9E9D0" w:rsidR="00D47EA1" w:rsidRDefault="000E2390" w:rsidP="00D7768F">
      <w:pPr>
        <w:pStyle w:val="Akapitzlist"/>
        <w:numPr>
          <w:ilvl w:val="0"/>
          <w:numId w:val="6"/>
        </w:numPr>
        <w:spacing w:before="24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Pamiętaj, że nie każdy rodzaj niepełnosprawności jest widoczny.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Mogą się</w:t>
      </w:r>
      <w:r w:rsid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zdarzyć tacy klienci, których prośby lub zachowanie wydadzą się dziwne. Może</w:t>
      </w:r>
      <w:r w:rsid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to mieć związek z niepełnosprawnością danej osoby i jej specjalnymi potrzebami.</w:t>
      </w:r>
      <w:r w:rsid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miarę możliwości szanuj potrzeby i prośby takiej osoby. Jeśli jednak klient</w:t>
      </w:r>
      <w:r w:rsid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zachowuje się agresywnie, bardzo dziwacznie lub czujesz się zagrożony, </w:t>
      </w:r>
      <w:r w:rsidR="00507C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</w:t>
      </w:r>
      <w:r w:rsid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wahaj się zapewnić sobie pomoc innych osób</w:t>
      </w:r>
      <w:r w:rsidR="00BD1207" w:rsidRPr="00744E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13355B5" w14:textId="13316FD1" w:rsidR="001C26DF" w:rsidRPr="00783B0E" w:rsidRDefault="000E2390" w:rsidP="00783B0E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783B0E">
        <w:rPr>
          <w:rFonts w:ascii="Arial" w:hAnsi="Arial" w:cs="Arial"/>
          <w:b/>
          <w:bCs/>
          <w:sz w:val="24"/>
          <w:szCs w:val="24"/>
          <w:lang w:eastAsia="pl-PL"/>
        </w:rPr>
        <w:t>§ 4</w:t>
      </w:r>
      <w:r w:rsidR="00783B0E" w:rsidRPr="00783B0E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Pr="00783B0E">
        <w:rPr>
          <w:rFonts w:ascii="Arial" w:hAnsi="Arial" w:cs="Arial"/>
          <w:b/>
          <w:bCs/>
          <w:sz w:val="24"/>
          <w:szCs w:val="24"/>
          <w:lang w:eastAsia="pl-PL"/>
        </w:rPr>
        <w:t>Obsługa osób z niepełnosprawnością ruchową</w:t>
      </w:r>
      <w:r w:rsidR="00783B0E" w:rsidRPr="00783B0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783B0E">
        <w:rPr>
          <w:rFonts w:ascii="Arial" w:hAnsi="Arial" w:cs="Arial"/>
          <w:b/>
          <w:bCs/>
          <w:sz w:val="24"/>
          <w:szCs w:val="24"/>
          <w:lang w:eastAsia="pl-PL"/>
        </w:rPr>
        <w:t>i mających trudności w poruszaniu się</w:t>
      </w:r>
    </w:p>
    <w:p w14:paraId="155EEEBA" w14:textId="75F92212" w:rsidR="00D47EA1" w:rsidRPr="00D47EA1" w:rsidRDefault="000E2390" w:rsidP="00D7768F">
      <w:pPr>
        <w:pStyle w:val="Akapitzlist"/>
        <w:numPr>
          <w:ilvl w:val="0"/>
          <w:numId w:val="7"/>
        </w:numPr>
        <w:spacing w:before="24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Urząd zapewnia wolne od barier architektonicznych przestrzenie komunikacyjne</w:t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budynku/budynkach.</w:t>
      </w:r>
    </w:p>
    <w:p w14:paraId="4CE218D1" w14:textId="5040D735" w:rsidR="001C26DF" w:rsidRPr="009009DF" w:rsidRDefault="000E2390" w:rsidP="00D7768F">
      <w:pPr>
        <w:pStyle w:val="Akapitzlist"/>
        <w:numPr>
          <w:ilvl w:val="0"/>
          <w:numId w:val="7"/>
        </w:numPr>
        <w:spacing w:before="24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Pracownik Urzędu po uzyskaniu informacji, że w instytucji pojawiła się osoba</w:t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niepełnosprawnością ruchową, czy mająca trudności w poruszaniu się</w:t>
      </w:r>
      <w:r w:rsid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powinien:</w:t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1) </w:t>
      </w:r>
      <w:r w:rsidR="00A43108"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apytać, w czym może pomóc</w:t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podprowadzić ją do właściwego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stanowiska/pokoju, bądź jeśli niemożliwe jest dotarcie do adekwatnego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stanowiska – obsłużyć ją na miejscu.</w:t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2) </w:t>
      </w:r>
      <w:r w:rsidR="00A43108"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aproponować miejsce obsługi</w:t>
      </w:r>
      <w:r w:rsidRPr="00D47EA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którego można podjechać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wózkiem </w:t>
      </w:r>
      <w:r w:rsidR="00507C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taki sposób, by rozmowa była prowadzona w warunkach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komfortowych dla osób z niepełnosprawnością ruchu.</w:t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3) </w:t>
      </w:r>
      <w:r w:rsidR="00A43108"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aproponować miejsce siedzące</w:t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klientowi</w:t>
      </w:r>
      <w:r w:rsid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laską/kulą/balkonikiem itp., </w:t>
      </w:r>
      <w:r w:rsidRPr="00D47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osobom starszym i kobietom w ciąży.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4) </w:t>
      </w:r>
      <w:r w:rsidR="00A43108"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amiętać, że wózek stanowi część przestrzeni osobistej osoby</w:t>
      </w:r>
      <w:r w:rsidRPr="001C26D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niepełnosprawnością. Nigdy nie należy dotykać, popychać ani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przestawiać czyjegoś wózka bez jego wyraźnej zgody. Próbując pomóc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osobie poruszającej się na wózku, np. poprzez przechylenie go lub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podniesienie, możemy spowodować urwanie się jakiejś jego części lub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wypadnięcie osoby z wózka.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5) </w:t>
      </w:r>
      <w:r w:rsidR="00A43108"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amiętać, że osoba poruszająca się na wózku ma ograniczony</w:t>
      </w:r>
      <w:r w:rsidR="001C26DF"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zasięg wzroku i ruchu ręką, 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związku z tym należy utrzymywać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właściwą odległość podczas prowadzenia rozmowy, pomagać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otwieraniu drzwi, zapalaniu światła (np. w toalecie), unikać obsługi zza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wysokiego kontuaru itp.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6) </w:t>
      </w:r>
      <w:r w:rsidR="00A43108"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eśli stanowisko obsługi (kontuar) jest zbyt wysoko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by osoba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wózku mogła swobodnie rozmawiać z pracownikiem, pracownik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powinien wyjść zza kontuaru, by ją obsłużyć. Ważnej jest również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apewnienie podkładek do pisania, jeśli osoba na wózku ma wypełnić jakiś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formularz lub złożyć podpis.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7) </w:t>
      </w:r>
      <w:r w:rsidR="00A43108"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ależy pamiętać, że niepełnosprawności ruchu to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także np.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dysfunkcje manualne czy neurologiczne – klient może skorzystać np.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alternatywnych form podpisu, jeśli przepisy na to zezwalają.</w:t>
      </w:r>
    </w:p>
    <w:p w14:paraId="11E1382A" w14:textId="61BA8604" w:rsidR="001C26DF" w:rsidRPr="00783B0E" w:rsidRDefault="000E2390" w:rsidP="00854F02">
      <w:pPr>
        <w:spacing w:after="12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783B0E">
        <w:rPr>
          <w:rFonts w:ascii="Arial" w:hAnsi="Arial" w:cs="Arial"/>
          <w:b/>
          <w:bCs/>
          <w:sz w:val="24"/>
          <w:szCs w:val="24"/>
          <w:lang w:eastAsia="pl-PL"/>
        </w:rPr>
        <w:t>§ 5</w:t>
      </w:r>
      <w:r w:rsidR="00783B0E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Pr="00783B0E">
        <w:rPr>
          <w:rFonts w:ascii="Arial" w:hAnsi="Arial" w:cs="Arial"/>
          <w:b/>
          <w:bCs/>
          <w:sz w:val="24"/>
          <w:szCs w:val="24"/>
          <w:lang w:eastAsia="pl-PL"/>
        </w:rPr>
        <w:t>Obsługa osób z niepełnosprawnością wzroku</w:t>
      </w:r>
    </w:p>
    <w:p w14:paraId="550F9C34" w14:textId="3A5719FA" w:rsidR="00554B94" w:rsidRPr="00A6617C" w:rsidRDefault="000E2390" w:rsidP="00D7768F">
      <w:pPr>
        <w:pStyle w:val="Akapitzlist"/>
        <w:numPr>
          <w:ilvl w:val="0"/>
          <w:numId w:val="12"/>
        </w:numPr>
        <w:spacing w:before="240" w:after="0" w:line="276" w:lineRule="auto"/>
        <w:ind w:left="426"/>
        <w:rPr>
          <w:rFonts w:ascii="Arial" w:eastAsia="Times New Roman" w:hAnsi="Arial" w:cs="Arial"/>
          <w:color w:val="EE0000"/>
          <w:kern w:val="0"/>
          <w:sz w:val="24"/>
          <w:szCs w:val="24"/>
          <w:lang w:eastAsia="pl-PL"/>
          <w14:ligatures w14:val="none"/>
        </w:rPr>
      </w:pP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Urząd zapewnia możliwość wejścia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budynku osobie korzystającej z psa </w:t>
      </w:r>
      <w:r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asystującego, o którym mowa w art</w:t>
      </w:r>
      <w:r w:rsidR="00207365"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ykule</w:t>
      </w:r>
      <w:r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</w:t>
      </w:r>
      <w:r w:rsidR="001C26DF"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207365"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un</w:t>
      </w:r>
      <w:r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kt 11 ustawy z </w:t>
      </w:r>
      <w:r w:rsidR="000550E4"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</w:t>
      </w:r>
      <w:r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nia 27 sierpnia 1997 r</w:t>
      </w:r>
      <w:r w:rsidR="00207365"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oku</w:t>
      </w:r>
      <w:r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 rehabilitacji zawodowej i społecznej</w:t>
      </w:r>
      <w:r w:rsidR="001C26DF"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oraz zatrudnianiu osób </w:t>
      </w:r>
      <w:r w:rsidR="00814C9C"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niepełnosprawnych bez</w:t>
      </w:r>
      <w:r w:rsidR="00207365"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konieczności wcześniejszego zgłoszenia tego faktu. </w:t>
      </w:r>
      <w:r w:rsid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207365" w:rsidRPr="002073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tym celu należy umożliwić osobie ze szczególnymi potrzebami poruszania się oraz dotarcie do poszczególnych pomieszczeń wraz z psem asystującym. </w:t>
      </w:r>
    </w:p>
    <w:p w14:paraId="68186583" w14:textId="77777777" w:rsidR="00554B94" w:rsidRDefault="000E2390" w:rsidP="00D7768F">
      <w:pPr>
        <w:pStyle w:val="Akapitzlist"/>
        <w:numPr>
          <w:ilvl w:val="0"/>
          <w:numId w:val="12"/>
        </w:numPr>
        <w:spacing w:before="240" w:after="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Należy umożliwić klientowi poruszanie się po instytucji oraz dotarcie wraz z psem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 stanowiska obsługi (np. odstawić zbędne krzesło przy ladzie, aby umożliwić</w:t>
      </w:r>
      <w:r w:rsid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psu pozostanie blisko klienta podczas procesu obsługi).</w:t>
      </w:r>
    </w:p>
    <w:p w14:paraId="5B27F6A5" w14:textId="0AABFB8C" w:rsidR="000E2390" w:rsidRDefault="000E2390" w:rsidP="00D7768F">
      <w:pPr>
        <w:pStyle w:val="Akapitzlist"/>
        <w:numPr>
          <w:ilvl w:val="0"/>
          <w:numId w:val="12"/>
        </w:numPr>
        <w:spacing w:before="240" w:after="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Urząd zapewnia elektroniczny dostęp do dokumentów (w tym w formacie pdf),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informacji o swojej działalności, regulaminach i procedurach</w:t>
      </w:r>
      <w:r w:rsidR="0070760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1C26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00258D2" w14:textId="7D732B3E" w:rsidR="00554B94" w:rsidRDefault="000E2390" w:rsidP="00D7768F">
      <w:pPr>
        <w:pStyle w:val="Akapitzlist"/>
        <w:numPr>
          <w:ilvl w:val="0"/>
          <w:numId w:val="12"/>
        </w:numPr>
        <w:spacing w:before="240" w:after="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Wyznaczony pracownik Urzędu po uzyskaniu informacji, że w instytucji pojawiła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się osoba z niepełnosprawnością wzroku, powinien: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1) pamiętać, że tylko niektóre osoby z dysfunkcją wzroku</w:t>
      </w:r>
      <w:r w:rsidR="00985177"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korzystają </w:t>
      </w:r>
      <w:r w:rsidR="00FB29EB"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alfabetu Braille’a</w:t>
      </w:r>
      <w:r w:rsidRPr="00554B9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Zawsze należy pytać osobę</w:t>
      </w:r>
      <w:r w:rsid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niepełnosprawnością wzroku, jaka jest najlepsza w jej przypadku forma</w:t>
      </w:r>
      <w:r w:rsid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obsługi i udostępniania dokumentów (np. dokumenty drukowane</w:t>
      </w:r>
      <w:r w:rsid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powiększoną czcionką, pliki elektroniczne </w:t>
      </w:r>
      <w:r w:rsidR="00FB29E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formatach dostępnych dla</w:t>
      </w:r>
      <w:r w:rsid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urządzeń udźwiękawiających itp.).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2) zanim nawiąże kontakt fizyczny, przywitać się, przedstawić</w:t>
      </w:r>
      <w:r w:rsidR="00554B94"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wymienić swoją funkcję.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 uzyskaniu przyzwolenia klienta na pomoc,</w:t>
      </w:r>
      <w:r w:rsid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pracownik powinien zaprowadzić go do odpowiedniego miejsca,</w:t>
      </w:r>
      <w:r w:rsid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ewentualnie podając osobie z niepełnosprawnością wzroku swoje ramię</w:t>
      </w:r>
      <w:r w:rsid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lub łokieć. Należy informować klienta o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wszelkich wykonywanych</w:t>
      </w:r>
      <w:r w:rsid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czynnościach (np. zamiarze oddalenia się) </w:t>
      </w:r>
      <w:r w:rsidR="00FB29E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przeszkodach na drodze (np.</w:t>
      </w:r>
      <w:r w:rsid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schodach, progach itp.) opisując konkretnie </w:t>
      </w:r>
      <w:r w:rsid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toczenie.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3) zadbać, by na drodze osoby z niepełnosprawnością wzroku</w:t>
      </w:r>
      <w:r w:rsidR="00554B94"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(słabowidzącej, niewidomej) nie znajdowały się żadne przeszkody</w:t>
      </w:r>
      <w:r w:rsidR="00854F0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(np. „</w:t>
      </w:r>
      <w:proofErr w:type="spellStart"/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potykacze</w:t>
      </w:r>
      <w:proofErr w:type="spellEnd"/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”, standy, stojaki na ulotki itp.), a przeszklone drzwi były</w:t>
      </w:r>
      <w:r w:rsid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odpowiednio (kontrastowo) oznaczone.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4) umożliwić składanie własnoręcznego podpisu osobie</w:t>
      </w:r>
      <w:r w:rsidR="00554B94"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="00554B94"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niepełnosprawnością wzroku za pomocą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specjalnej ramki i w razie</w:t>
      </w:r>
      <w:r w:rsid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potrzeby nakierować jej dłoń we właściwe miejsce.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5) pamiętać, że pies asystujący jest w pracy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nie wolno go</w:t>
      </w:r>
      <w:r w:rsid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rozpraszać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dotykaniem, głaskaniem itp. Można to uczynić jedynie, jeśli</w:t>
      </w:r>
      <w:r w:rsid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jego właściciel wyrazi na to zgodę. Można zaoferować psu wodę do picia.</w:t>
      </w:r>
    </w:p>
    <w:p w14:paraId="45A00853" w14:textId="77777777" w:rsidR="00C8113E" w:rsidRDefault="00C8113E" w:rsidP="00C8113E">
      <w:pPr>
        <w:pStyle w:val="Akapitzlist"/>
        <w:spacing w:before="240" w:after="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2EEE40" w14:textId="45386EA6" w:rsidR="00554B94" w:rsidRPr="00783B0E" w:rsidRDefault="000E2390" w:rsidP="00C8113E">
      <w:pPr>
        <w:spacing w:after="120" w:line="276" w:lineRule="auto"/>
        <w:contextualSpacing/>
        <w:rPr>
          <w:rFonts w:ascii="Arial" w:hAnsi="Arial" w:cs="Arial"/>
          <w:b/>
          <w:bCs/>
          <w:sz w:val="24"/>
          <w:szCs w:val="24"/>
          <w:lang w:eastAsia="pl-PL"/>
        </w:rPr>
      </w:pPr>
      <w:r w:rsidRPr="00783B0E">
        <w:rPr>
          <w:rFonts w:ascii="Arial" w:hAnsi="Arial" w:cs="Arial"/>
          <w:b/>
          <w:bCs/>
          <w:sz w:val="24"/>
          <w:szCs w:val="24"/>
          <w:lang w:eastAsia="pl-PL"/>
        </w:rPr>
        <w:t>§ 6</w:t>
      </w:r>
      <w:r w:rsidR="00783B0E" w:rsidRPr="00783B0E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Pr="00783B0E">
        <w:rPr>
          <w:rFonts w:ascii="Arial" w:hAnsi="Arial" w:cs="Arial"/>
          <w:b/>
          <w:bCs/>
          <w:sz w:val="24"/>
          <w:szCs w:val="24"/>
          <w:lang w:eastAsia="pl-PL"/>
        </w:rPr>
        <w:t>Obsługa osób z niepełnosprawnością słuchu</w:t>
      </w:r>
      <w:r w:rsidR="00783B0E" w:rsidRPr="00783B0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783B0E">
        <w:rPr>
          <w:rFonts w:ascii="Arial" w:hAnsi="Arial" w:cs="Arial"/>
          <w:b/>
          <w:bCs/>
          <w:sz w:val="24"/>
          <w:szCs w:val="24"/>
          <w:lang w:eastAsia="pl-PL"/>
        </w:rPr>
        <w:t>i trudnościami w</w:t>
      </w:r>
      <w:r w:rsidR="00783B0E" w:rsidRPr="00783B0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783B0E">
        <w:rPr>
          <w:rFonts w:ascii="Arial" w:hAnsi="Arial" w:cs="Arial"/>
          <w:b/>
          <w:bCs/>
          <w:sz w:val="24"/>
          <w:szCs w:val="24"/>
          <w:lang w:eastAsia="pl-PL"/>
        </w:rPr>
        <w:t>komunikowaniu się</w:t>
      </w:r>
    </w:p>
    <w:p w14:paraId="4632FB87" w14:textId="5C8A7F20" w:rsidR="00554B94" w:rsidRDefault="000E2390" w:rsidP="00C8113E">
      <w:pPr>
        <w:pStyle w:val="Akapitzlist"/>
        <w:numPr>
          <w:ilvl w:val="0"/>
          <w:numId w:val="14"/>
        </w:numPr>
        <w:spacing w:before="240" w:after="12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215565163"/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Urząd zapewnia obsługę z pomocą tłumacza języka </w:t>
      </w:r>
      <w:r w:rsidR="00814C9C"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migowego,</w:t>
      </w:r>
      <w:r w:rsidR="00814C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</w:t>
      </w:r>
      <w:r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wykorzystaniem środków wspierających komunikowanie się, przez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wykorzystanie zdalnego dostępu online do usługi tłumacza przez stron</w:t>
      </w:r>
      <w:r w:rsidR="000B73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ę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internetow</w:t>
      </w:r>
      <w:r w:rsidR="000B73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bookmarkEnd w:id="0"/>
    <w:p w14:paraId="7C11AF69" w14:textId="77777777" w:rsidR="00451FE9" w:rsidRDefault="00707606" w:rsidP="00D7768F">
      <w:pPr>
        <w:pStyle w:val="Akapitzlist"/>
        <w:numPr>
          <w:ilvl w:val="0"/>
          <w:numId w:val="14"/>
        </w:numPr>
        <w:spacing w:before="240" w:after="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doświadczające trudności w</w:t>
      </w:r>
      <w:r w:rsidR="00451FE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komunikowaniu się mogą załatwić s</w:t>
      </w:r>
      <w:r w:rsidR="00451FE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rawy </w:t>
      </w:r>
      <w:r w:rsidR="00451FE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Urzędzie przy pomocy osoby tak zwanej osoby przybranej, którą może być każda osoba fizyczna, która ukończyła 16 lat i została wybrana przez osobę uprawnioną. </w:t>
      </w:r>
    </w:p>
    <w:p w14:paraId="08248BE8" w14:textId="77777777" w:rsidR="0034049F" w:rsidRDefault="000E2390" w:rsidP="00D7768F">
      <w:pPr>
        <w:pStyle w:val="Akapitzlist"/>
        <w:numPr>
          <w:ilvl w:val="0"/>
          <w:numId w:val="14"/>
        </w:numPr>
        <w:spacing w:before="240" w:after="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Urzędzie dostępne są urządzenia wspomagające słyszenie.</w:t>
      </w:r>
    </w:p>
    <w:p w14:paraId="3F3F02FA" w14:textId="12832547" w:rsidR="00C8113E" w:rsidRPr="00C8113E" w:rsidRDefault="000E2390" w:rsidP="00C8113E">
      <w:pPr>
        <w:pStyle w:val="Akapitzlist"/>
        <w:numPr>
          <w:ilvl w:val="0"/>
          <w:numId w:val="14"/>
        </w:numPr>
        <w:spacing w:before="240" w:after="0" w:line="276" w:lineRule="auto"/>
        <w:ind w:left="42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Wyznaczony pracownik Urzędu po uzyskaniu informacji, że w instytucji pojawiła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się osoba z niepełnosprawnością słuchu, powinien: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1) pamiętać, że nie wszystkie osoby niesłyszące posługują się</w:t>
      </w:r>
      <w:r w:rsid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językiem migowym. Duża część z nich czy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ta z ruchu warg oraz</w:t>
      </w:r>
      <w:r w:rsid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komunikuje się pisemnie. Należy zapewnić możliwość dogodnej dla klienta</w:t>
      </w:r>
      <w:r w:rsid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formy komunikacji (nie odwracać głowy w trakcie mówienia, wyraźnie</w:t>
      </w:r>
      <w:r w:rsid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artykułować słowa, czytelnie pisać).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2) pamiętać, że dla osób niesłyszących posługujących się</w:t>
      </w:r>
      <w:r w:rsid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językiem migowym, język polski jest językiem obcym,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 zupełnie innej</w:t>
      </w:r>
      <w:r w:rsid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składni. Wszystkie komunikaty (w tym pisemne) powinny być możliwie</w:t>
      </w:r>
      <w:r w:rsid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uproszczone, by osoba z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niepełnosprawnością słuchu mogła je łatwiej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zrozumieć.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3)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aby dowiedzieć się, czy dana osoba chce porozumiewać się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języku migowym, za pomocą gestów, pisząc czy mówiąc,</w:t>
      </w:r>
      <w:r w:rsid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pracownik powinien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obserwować, jakie osoba niesłysząca daje</w:t>
      </w:r>
      <w:r w:rsid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83B0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sygnały. Je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żeli nie zrozumie, co mówi osoba niesłysząca lub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niedosłysząca, powinien ją o tym poinformować.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4)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pamiętać, że zanim zacznie mówić do osoby niedosłyszącej lub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niesłyszącej,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powinien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upewnić się, że klient na niego patrzy.</w:t>
      </w:r>
      <w:r w:rsidRPr="000E239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Aby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zwrócić uwagę osoby z niepełnosprawnością słuchu, można delikatnie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dotknąć jej ramienia lub pomachać do niej ręką.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5)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jeśli osoba niedosłysząca nie zrozumie wypowiedzi pracownika,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powinien on powtórzyć jej, możliwie innymi słowami.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6)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jeśli to możliwe, należy zadbać by rozmowa była prowadzona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oddzielnym pomieszczeniu, by zapewnić osobie z dysfunkcją słuchu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23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komfort akustyczny.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Ciche otoczenie ułatwia komunikację.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7) jeśli mamy do czynienia z osobą z zaburzeniami mowy (np. po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udarze, jąkającą się), należy poświęcić takiej osobie pełną uwagę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z cierpliwością dać jej się wypowiedzieć. Nie należy przerywać jej ani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kończyć za nią zdań. Jeśli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pracownik ma problem ze zrozumieniem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wypowiedzi klienta, powinien uprzejmie poprosić go o powtórzenie.</w:t>
      </w:r>
    </w:p>
    <w:p w14:paraId="63C422B2" w14:textId="77777777" w:rsidR="00C8113E" w:rsidRPr="00C8113E" w:rsidRDefault="00C8113E" w:rsidP="00C8113E">
      <w:pPr>
        <w:pStyle w:val="Akapitzlist"/>
        <w:spacing w:before="240" w:after="0" w:line="276" w:lineRule="auto"/>
        <w:ind w:left="42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AA6A535" w14:textId="720B8E1D" w:rsidR="0034049F" w:rsidRPr="00854F02" w:rsidRDefault="000E2390" w:rsidP="00854F02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854F02">
        <w:rPr>
          <w:rFonts w:ascii="Arial" w:hAnsi="Arial" w:cs="Arial"/>
          <w:b/>
          <w:bCs/>
          <w:sz w:val="24"/>
          <w:szCs w:val="24"/>
          <w:lang w:eastAsia="pl-PL"/>
        </w:rPr>
        <w:t>§ 7</w:t>
      </w:r>
      <w:r w:rsidR="00854F02" w:rsidRPr="00854F02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Pr="00854F02">
        <w:rPr>
          <w:rFonts w:ascii="Arial" w:hAnsi="Arial" w:cs="Arial"/>
          <w:b/>
          <w:bCs/>
          <w:sz w:val="24"/>
          <w:szCs w:val="24"/>
          <w:lang w:eastAsia="pl-PL"/>
        </w:rPr>
        <w:t>Obsługa osób z niepełnosprawnością intelektualną</w:t>
      </w:r>
    </w:p>
    <w:p w14:paraId="74B8B31C" w14:textId="77777777" w:rsidR="0034049F" w:rsidRPr="0034049F" w:rsidRDefault="000E2390" w:rsidP="00D7768F">
      <w:pPr>
        <w:pStyle w:val="Akapitzlist"/>
        <w:numPr>
          <w:ilvl w:val="0"/>
          <w:numId w:val="15"/>
        </w:numPr>
        <w:spacing w:before="240" w:after="0" w:line="276" w:lineRule="auto"/>
        <w:ind w:left="42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Urząd zapewnia informacje i możliwość komunikacji w tekście łatwym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 czytania i zrozumienia (tekst ETR).</w:t>
      </w:r>
    </w:p>
    <w:p w14:paraId="740A7763" w14:textId="42A6A7E2" w:rsidR="005E40B7" w:rsidRDefault="000E2390" w:rsidP="00D7768F">
      <w:pPr>
        <w:pStyle w:val="Akapitzlist"/>
        <w:numPr>
          <w:ilvl w:val="0"/>
          <w:numId w:val="15"/>
        </w:numPr>
        <w:spacing w:before="240" w:after="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Wyznaczony pracownik Urzędu po uzyskaniu informacji, że w instytucji pojawiła</w:t>
      </w:r>
      <w:r w:rsid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się osoba z niepełnosprawnością intelektualną bądź innymi dysfunkcjami</w:t>
      </w:r>
      <w:r w:rsid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poznawczymi, powinien: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1) w czasie rozmowy z klientem używać prostych zdań</w:t>
      </w:r>
      <w:r w:rsidR="0034049F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pojedynczych</w:t>
      </w:r>
      <w:r w:rsidRPr="0034049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Dłuższe wypowiedzi należy podzielić na krótsze części,</w:t>
      </w:r>
      <w:r w:rsid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 po każdej z nich upewnić się czy rozmówca prawidłowo ją zrozumiał.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2) dostosować tempo wypowiedzi i słownictwo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indywidualnych</w:t>
      </w:r>
      <w:r w:rsid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potrzeb osoby z niepełnosprawnością.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3) stosować powtórzenia,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które pomogą zrozumieć ważne</w:t>
      </w:r>
      <w:r w:rsid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informacje </w:t>
      </w:r>
      <w:r w:rsidR="00CD704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je zapamiętać.</w:t>
      </w:r>
      <w:r w:rsidRPr="003404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4) na koniec rozmowy upewnić się, że klient zrozumiał komunikat</w:t>
      </w:r>
      <w:r w:rsidR="0034049F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D7040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wie,</w:t>
      </w:r>
      <w:r w:rsidR="00CD7040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co dalej zrobić.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5) wykazać się szacunkiem, cierpliwością i zrozumieniem.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6) osoby z niepełnosprawnością intelektualną mogą przyjść do urzędu</w:t>
      </w:r>
      <w:r w:rsidR="0034049F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F1BE2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towarzystwie asystenta. Pracownik powinien zawsze mówić wprost</w:t>
      </w:r>
      <w:r w:rsidR="0034049F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klienta, nie do jej asystenta.</w:t>
      </w:r>
    </w:p>
    <w:p w14:paraId="5AC29522" w14:textId="77777777" w:rsidR="00C8113E" w:rsidRPr="00854F02" w:rsidRDefault="00C8113E" w:rsidP="00C8113E">
      <w:pPr>
        <w:pStyle w:val="Akapitzlist"/>
        <w:spacing w:before="240" w:after="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713FEE8" w14:textId="2C3ED59F" w:rsidR="005E40B7" w:rsidRPr="00854F02" w:rsidRDefault="000E2390" w:rsidP="00854F02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854F02">
        <w:rPr>
          <w:rFonts w:ascii="Arial" w:hAnsi="Arial" w:cs="Arial"/>
          <w:b/>
          <w:bCs/>
          <w:sz w:val="24"/>
          <w:szCs w:val="24"/>
          <w:lang w:eastAsia="pl-PL"/>
        </w:rPr>
        <w:t>§ 8</w:t>
      </w:r>
      <w:r w:rsidR="00854F02" w:rsidRPr="00854F02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Pr="00854F02">
        <w:rPr>
          <w:rFonts w:ascii="Arial" w:hAnsi="Arial" w:cs="Arial"/>
          <w:b/>
          <w:bCs/>
          <w:sz w:val="24"/>
          <w:szCs w:val="24"/>
          <w:lang w:eastAsia="pl-PL"/>
        </w:rPr>
        <w:t>Obsługa osób w spektrum autyzmu</w:t>
      </w:r>
    </w:p>
    <w:p w14:paraId="6554EE5A" w14:textId="58405D2E" w:rsidR="005E40B7" w:rsidRPr="00854F02" w:rsidRDefault="000E2390" w:rsidP="00D7768F">
      <w:pPr>
        <w:spacing w:before="240"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27F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Pr="009009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Urząd zapewnia informacje i możliwość komunikacji w tekście łatwym</w:t>
      </w:r>
      <w:r w:rsidR="005E40B7" w:rsidRPr="009009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F1BE2" w:rsidRPr="009009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9009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czytania i zrozumienia (tekst ETR).</w:t>
      </w:r>
      <w:r w:rsidRPr="009009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027F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9009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Wyznaczony pracownik urzędu po uzyskaniu informacji, że w instytucji pojawiła</w:t>
      </w:r>
      <w:r w:rsidR="005E40B7" w:rsidRPr="009009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009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się osoba w spektrum autyzmu bądź innymi zaburzeniami funkcji poznawczych,</w:t>
      </w:r>
      <w:r w:rsidR="005E40B7" w:rsidRPr="009009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009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powinien:</w:t>
      </w:r>
      <w:r w:rsidRPr="009009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1) zadbać o spokojne miejsce do rozmowy, najlepiej odosobnione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009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dobrą praktykę stanowią pokoje wyciszenia, czyli miejsca, w których nie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009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występują czynniki rozpraszające. Takie warunki ułatwiają kontakt z osobą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009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spektrum autyzmu.</w:t>
      </w:r>
      <w:r w:rsidRPr="009009DF">
        <w:rPr>
          <w:rFonts w:ascii="Arial" w:eastAsia="Times New Roman" w:hAnsi="Arial" w:cs="Arial"/>
          <w:color w:val="EE0000"/>
          <w:kern w:val="0"/>
          <w:sz w:val="24"/>
          <w:szCs w:val="24"/>
          <w:lang w:eastAsia="pl-PL"/>
          <w14:ligatures w14:val="none"/>
        </w:rPr>
        <w:br/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2) zadbać o to aby została obsłużona w pierwszej kolejności 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dla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osób z autyzmem stanie i czekanie w kolejce jest bardzo uciążliwe.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obecności innych obcych osób narasta w nich lęk, gdyż nie wiedzą co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kiedy się stanie, a to może prowadzić do zaburzeń zachowania.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3) nie zniechęcać się, gdy osoba z autyzmem nie patrzy w oczy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podczas rozmowy. Mimo tego zwracaj się wprost do niej.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4) daj rozmówcy czas na odpowiedź i cierpliwie czekaj, jeśli nie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odpowiada od razu na pytania. Ewentualnie powtórz pytanie.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5) zachować się w przewidywalny sposób. Uprzedzaj o zmianach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następnych krokach w działaniu. Nie zaskakiwać.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6) unikać abstrakcyjnych pojęć, żartów, ironii, dwuznaczności,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porównań i metafor. Rozmawiając z osobą w spektrum autyzmu należy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mówić o konkretach – krótkie, proste komunikaty werbalne.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7) jasno formułuj swoje oczekiwania – osoby z zaburzeniami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spektrum autyzmu nie czytają między wierszami, mają duże trudności,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żeby domyślić się, co czują lub myślą inne osoby, jakie mają intencje,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8) dostosować tempo wypowiedzi i słownictwo do indywidualnych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potrzeb osoby z niepełnosprawnością.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9) upewnić się, że rozmówca rozumie i wie co ma dalej zrobić -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pamiętaj, że niektóre osoby z zaburzeniami ze spektrum autyzmu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potrzebują dokładnej instrukcji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wykonania czynności lub zadania,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pomocne będzie więc przygotowanie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szczegółowego schematu</w:t>
      </w:r>
      <w:r w:rsidR="005E40B7"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postępowania, najlepiej w formie pisemnej (regulamin, instrukcja).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10) wykazać się szacunkiem, cierpliwością i zrozumieniem.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11) osoby w spektrum autyzmu mogą przyjść do urzędu w towarzystwie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asystenta. Pracownik powinien zawsze mówić wprost do klienta, nie</w:t>
      </w:r>
      <w:r w:rsid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jego asystenta.</w:t>
      </w:r>
    </w:p>
    <w:p w14:paraId="30081394" w14:textId="77777777" w:rsidR="00C8113E" w:rsidRDefault="00C8113E" w:rsidP="00854F02">
      <w:pPr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1" w:name="_Hlk215565113"/>
    </w:p>
    <w:p w14:paraId="415A363C" w14:textId="75E01164" w:rsidR="00451FE9" w:rsidRPr="00854F02" w:rsidRDefault="00451FE9" w:rsidP="00C8113E">
      <w:pPr>
        <w:spacing w:after="12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854F02">
        <w:rPr>
          <w:rFonts w:ascii="Arial" w:hAnsi="Arial" w:cs="Arial"/>
          <w:b/>
          <w:bCs/>
          <w:sz w:val="24"/>
          <w:szCs w:val="24"/>
          <w:lang w:eastAsia="pl-PL"/>
        </w:rPr>
        <w:t>§ 9</w:t>
      </w:r>
      <w:r w:rsidR="00854F02" w:rsidRPr="00854F02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Pr="00854F02">
        <w:rPr>
          <w:rFonts w:ascii="Arial" w:hAnsi="Arial" w:cs="Arial"/>
          <w:b/>
          <w:bCs/>
          <w:sz w:val="24"/>
          <w:szCs w:val="24"/>
          <w:lang w:eastAsia="pl-PL"/>
        </w:rPr>
        <w:t xml:space="preserve">Wniosek o </w:t>
      </w:r>
      <w:bookmarkStart w:id="2" w:name="_Hlk215565370"/>
      <w:r w:rsidRPr="00854F02">
        <w:rPr>
          <w:rFonts w:ascii="Arial" w:hAnsi="Arial" w:cs="Arial"/>
          <w:b/>
          <w:bCs/>
          <w:sz w:val="24"/>
          <w:szCs w:val="24"/>
          <w:lang w:eastAsia="pl-PL"/>
        </w:rPr>
        <w:t>zapewnienie dostępności</w:t>
      </w:r>
      <w:bookmarkEnd w:id="2"/>
    </w:p>
    <w:p w14:paraId="205185B1" w14:textId="77777777" w:rsidR="00162B15" w:rsidRDefault="00451FE9" w:rsidP="00C8113E">
      <w:pPr>
        <w:pStyle w:val="Akapitzlist"/>
        <w:numPr>
          <w:ilvl w:val="0"/>
          <w:numId w:val="16"/>
        </w:numPr>
        <w:spacing w:before="240" w:after="120" w:line="276" w:lineRule="auto"/>
        <w:ind w:left="284" w:hanging="21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Osoba ze szczególnymi potrzebami lub jej przedstawiciel ustawow</w:t>
      </w:r>
      <w:r w:rsidR="00162B1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y, po okazaniu interesu faktycznego, ma prawo wystąpić z wnioskiem o </w:t>
      </w:r>
      <w:r w:rsidR="00162B15" w:rsidRPr="00162B1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dostępności</w:t>
      </w:r>
      <w:r w:rsidR="00162B1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architektonicznej lub informacyjno-komunikacyjnej, zwanym dalej „wnioskiem o </w:t>
      </w:r>
      <w:r w:rsidR="00162B15" w:rsidRPr="00162B1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dostępności</w:t>
      </w:r>
      <w:r w:rsidR="00162B1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”.</w:t>
      </w:r>
    </w:p>
    <w:p w14:paraId="7DC27787" w14:textId="77777777" w:rsidR="00162B15" w:rsidRDefault="00162B15" w:rsidP="00854F02">
      <w:pPr>
        <w:pStyle w:val="Akapitzlist"/>
        <w:numPr>
          <w:ilvl w:val="0"/>
          <w:numId w:val="16"/>
        </w:numPr>
        <w:spacing w:before="240" w:after="0" w:line="276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162B1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niose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162B1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 zapewnienie dostępności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składany jest do </w:t>
      </w:r>
      <w:r w:rsidR="00451FE9"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Urz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ę</w:t>
      </w:r>
      <w:r w:rsidR="00451FE9"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 Gminy Hrubieszów.</w:t>
      </w:r>
      <w:r w:rsidR="00451FE9"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E741207" w14:textId="3BCF770F" w:rsidR="00451FE9" w:rsidRPr="00162B15" w:rsidRDefault="00162B15" w:rsidP="00854F02">
      <w:pPr>
        <w:pStyle w:val="Akapitzlist"/>
        <w:numPr>
          <w:ilvl w:val="0"/>
          <w:numId w:val="16"/>
        </w:numPr>
        <w:spacing w:before="240" w:after="0" w:line="276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Wzór wniosku o </w:t>
      </w:r>
      <w:r w:rsidR="00451FE9"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enie</w:t>
      </w:r>
      <w:r w:rsidR="00451FE9" w:rsidRPr="00554B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dostępności dostępny jest </w:t>
      </w:r>
      <w:hyperlink r:id="rId9" w:history="1">
        <w:r w:rsidRPr="000235C9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na stronie in</w:t>
        </w:r>
        <w:r w:rsidRPr="000235C9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ternetowej Urzędu.</w:t>
        </w:r>
      </w:hyperlink>
    </w:p>
    <w:p w14:paraId="16D38C93" w14:textId="77777777" w:rsidR="00C8113E" w:rsidRDefault="00C8113E" w:rsidP="0010534E">
      <w:pPr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564ECB4" w14:textId="06416BDC" w:rsidR="005E40B7" w:rsidRPr="0010534E" w:rsidRDefault="000E2390" w:rsidP="0010534E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10534E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 xml:space="preserve">§ </w:t>
      </w:r>
      <w:r w:rsidR="00451FE9" w:rsidRPr="0010534E">
        <w:rPr>
          <w:rFonts w:ascii="Arial" w:hAnsi="Arial" w:cs="Arial"/>
          <w:b/>
          <w:bCs/>
          <w:sz w:val="24"/>
          <w:szCs w:val="24"/>
          <w:lang w:eastAsia="pl-PL"/>
        </w:rPr>
        <w:t>10</w:t>
      </w:r>
      <w:r w:rsidR="0010534E" w:rsidRPr="0010534E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Pr="0010534E">
        <w:rPr>
          <w:rFonts w:ascii="Arial" w:hAnsi="Arial" w:cs="Arial"/>
          <w:b/>
          <w:bCs/>
          <w:sz w:val="24"/>
          <w:szCs w:val="24"/>
          <w:lang w:eastAsia="pl-PL"/>
        </w:rPr>
        <w:t>Postanowienia końcowe</w:t>
      </w:r>
    </w:p>
    <w:bookmarkEnd w:id="1"/>
    <w:p w14:paraId="654E32B7" w14:textId="6DA97F7F" w:rsidR="005377EE" w:rsidRPr="00F45DD5" w:rsidRDefault="000E2390" w:rsidP="00F45DD5">
      <w:pPr>
        <w:pStyle w:val="Akapitzlist"/>
        <w:spacing w:before="240" w:after="0" w:line="276" w:lineRule="auto"/>
        <w:ind w:left="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E40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Niezależnie od zapisów niniejszej procedury, każdy pracownik Urzędu, mając</w:t>
      </w:r>
      <w:r w:rsidR="0021171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E40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uwadze zapisy Konwencji ONZ o prawach osób niepełnosprawnych, obowiązany</w:t>
      </w:r>
      <w:r w:rsidR="005E40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E40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 okazać osobie z niepełnosprawnością wszelką pomoc.</w:t>
      </w:r>
    </w:p>
    <w:sectPr w:rsidR="005377EE" w:rsidRPr="00F45DD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8207" w14:textId="77777777" w:rsidR="002B5ED5" w:rsidRDefault="002B5ED5" w:rsidP="005D77AA">
      <w:pPr>
        <w:spacing w:after="0" w:line="240" w:lineRule="auto"/>
      </w:pPr>
      <w:r>
        <w:separator/>
      </w:r>
    </w:p>
  </w:endnote>
  <w:endnote w:type="continuationSeparator" w:id="0">
    <w:p w14:paraId="5677EC73" w14:textId="77777777" w:rsidR="002B5ED5" w:rsidRDefault="002B5ED5" w:rsidP="005D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840F" w14:textId="77777777" w:rsidR="002B5ED5" w:rsidRDefault="002B5ED5" w:rsidP="005D77AA">
      <w:pPr>
        <w:spacing w:after="0" w:line="240" w:lineRule="auto"/>
      </w:pPr>
      <w:r>
        <w:separator/>
      </w:r>
    </w:p>
  </w:footnote>
  <w:footnote w:type="continuationSeparator" w:id="0">
    <w:p w14:paraId="76E28072" w14:textId="77777777" w:rsidR="002B5ED5" w:rsidRDefault="002B5ED5" w:rsidP="005D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86B4" w14:textId="028CE5C8" w:rsidR="005D77AA" w:rsidRPr="005D77AA" w:rsidRDefault="005D77AA" w:rsidP="005D77AA">
    <w:pPr>
      <w:pStyle w:val="Nagwek"/>
      <w:ind w:left="-142"/>
    </w:pPr>
    <w:r w:rsidRPr="005D77AA">
      <w:rPr>
        <w:noProof/>
      </w:rPr>
      <w:drawing>
        <wp:inline distT="0" distB="0" distL="0" distR="0" wp14:anchorId="3E4683B5" wp14:editId="3E80ADEF">
          <wp:extent cx="6000750" cy="827485"/>
          <wp:effectExtent l="0" t="0" r="0" b="0"/>
          <wp:docPr id="4057962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487" cy="8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AD6E9E" w14:textId="77777777" w:rsidR="005D77AA" w:rsidRDefault="005D77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600D"/>
    <w:multiLevelType w:val="hybridMultilevel"/>
    <w:tmpl w:val="9BA69E4A"/>
    <w:lvl w:ilvl="0" w:tplc="1A964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F3514"/>
    <w:multiLevelType w:val="hybridMultilevel"/>
    <w:tmpl w:val="FA8A1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55F07"/>
    <w:multiLevelType w:val="hybridMultilevel"/>
    <w:tmpl w:val="CF6C0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23AD"/>
    <w:multiLevelType w:val="hybridMultilevel"/>
    <w:tmpl w:val="57745856"/>
    <w:lvl w:ilvl="0" w:tplc="46E67C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610130"/>
    <w:multiLevelType w:val="hybridMultilevel"/>
    <w:tmpl w:val="C1EAA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4BB"/>
    <w:multiLevelType w:val="hybridMultilevel"/>
    <w:tmpl w:val="539E2A56"/>
    <w:lvl w:ilvl="0" w:tplc="6C185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17108C"/>
    <w:multiLevelType w:val="hybridMultilevel"/>
    <w:tmpl w:val="E1702DC8"/>
    <w:lvl w:ilvl="0" w:tplc="8D2EB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90932"/>
    <w:multiLevelType w:val="hybridMultilevel"/>
    <w:tmpl w:val="358C99F4"/>
    <w:lvl w:ilvl="0" w:tplc="8C96F78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2DF08C7"/>
    <w:multiLevelType w:val="hybridMultilevel"/>
    <w:tmpl w:val="E6749B5A"/>
    <w:lvl w:ilvl="0" w:tplc="5B344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BF09A8"/>
    <w:multiLevelType w:val="hybridMultilevel"/>
    <w:tmpl w:val="CC36E81E"/>
    <w:lvl w:ilvl="0" w:tplc="6A8E31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F905FBD"/>
    <w:multiLevelType w:val="hybridMultilevel"/>
    <w:tmpl w:val="8E42F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732AE"/>
    <w:multiLevelType w:val="hybridMultilevel"/>
    <w:tmpl w:val="FE780FBA"/>
    <w:lvl w:ilvl="0" w:tplc="B0C022E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CC0513"/>
    <w:multiLevelType w:val="hybridMultilevel"/>
    <w:tmpl w:val="D10414DC"/>
    <w:lvl w:ilvl="0" w:tplc="8D2EB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E014F"/>
    <w:multiLevelType w:val="hybridMultilevel"/>
    <w:tmpl w:val="AA70F682"/>
    <w:lvl w:ilvl="0" w:tplc="8D2EB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64F42"/>
    <w:multiLevelType w:val="hybridMultilevel"/>
    <w:tmpl w:val="82FC9816"/>
    <w:lvl w:ilvl="0" w:tplc="8D2EB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1727C"/>
    <w:multiLevelType w:val="hybridMultilevel"/>
    <w:tmpl w:val="40AA12CC"/>
    <w:lvl w:ilvl="0" w:tplc="6F101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894736">
    <w:abstractNumId w:val="1"/>
  </w:num>
  <w:num w:numId="2" w16cid:durableId="320358092">
    <w:abstractNumId w:val="10"/>
  </w:num>
  <w:num w:numId="3" w16cid:durableId="899168000">
    <w:abstractNumId w:val="14"/>
  </w:num>
  <w:num w:numId="4" w16cid:durableId="204415120">
    <w:abstractNumId w:val="12"/>
  </w:num>
  <w:num w:numId="5" w16cid:durableId="119885671">
    <w:abstractNumId w:val="6"/>
  </w:num>
  <w:num w:numId="6" w16cid:durableId="609901454">
    <w:abstractNumId w:val="9"/>
  </w:num>
  <w:num w:numId="7" w16cid:durableId="697313405">
    <w:abstractNumId w:val="5"/>
  </w:num>
  <w:num w:numId="8" w16cid:durableId="525755893">
    <w:abstractNumId w:val="3"/>
  </w:num>
  <w:num w:numId="9" w16cid:durableId="483089921">
    <w:abstractNumId w:val="2"/>
  </w:num>
  <w:num w:numId="10" w16cid:durableId="1488011460">
    <w:abstractNumId w:val="15"/>
  </w:num>
  <w:num w:numId="11" w16cid:durableId="1160777207">
    <w:abstractNumId w:val="13"/>
  </w:num>
  <w:num w:numId="12" w16cid:durableId="1035040728">
    <w:abstractNumId w:val="11"/>
  </w:num>
  <w:num w:numId="13" w16cid:durableId="1348487488">
    <w:abstractNumId w:val="4"/>
  </w:num>
  <w:num w:numId="14" w16cid:durableId="12538802">
    <w:abstractNumId w:val="0"/>
  </w:num>
  <w:num w:numId="15" w16cid:durableId="307784278">
    <w:abstractNumId w:val="7"/>
  </w:num>
  <w:num w:numId="16" w16cid:durableId="1826820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6D"/>
    <w:rsid w:val="00013121"/>
    <w:rsid w:val="000235C9"/>
    <w:rsid w:val="00027F76"/>
    <w:rsid w:val="000550E4"/>
    <w:rsid w:val="000569BB"/>
    <w:rsid w:val="000B7397"/>
    <w:rsid w:val="000C5F8F"/>
    <w:rsid w:val="000E2390"/>
    <w:rsid w:val="000E792A"/>
    <w:rsid w:val="0010534E"/>
    <w:rsid w:val="00162B15"/>
    <w:rsid w:val="001C26DF"/>
    <w:rsid w:val="00207365"/>
    <w:rsid w:val="00211716"/>
    <w:rsid w:val="00265695"/>
    <w:rsid w:val="002840F2"/>
    <w:rsid w:val="002B5ED5"/>
    <w:rsid w:val="002E40A0"/>
    <w:rsid w:val="0034049F"/>
    <w:rsid w:val="003D2947"/>
    <w:rsid w:val="004154D2"/>
    <w:rsid w:val="00451FE9"/>
    <w:rsid w:val="004B72BB"/>
    <w:rsid w:val="00507C98"/>
    <w:rsid w:val="00522D8B"/>
    <w:rsid w:val="005377EE"/>
    <w:rsid w:val="00554B94"/>
    <w:rsid w:val="005A2F1F"/>
    <w:rsid w:val="005D77AA"/>
    <w:rsid w:val="005E40B7"/>
    <w:rsid w:val="00612F34"/>
    <w:rsid w:val="00620FE0"/>
    <w:rsid w:val="006450A1"/>
    <w:rsid w:val="006C3630"/>
    <w:rsid w:val="00707606"/>
    <w:rsid w:val="00744E0A"/>
    <w:rsid w:val="00770B24"/>
    <w:rsid w:val="00777CD0"/>
    <w:rsid w:val="00783B0E"/>
    <w:rsid w:val="007B69CC"/>
    <w:rsid w:val="0081101E"/>
    <w:rsid w:val="00814C9C"/>
    <w:rsid w:val="00854F02"/>
    <w:rsid w:val="008904C7"/>
    <w:rsid w:val="009009DF"/>
    <w:rsid w:val="00936487"/>
    <w:rsid w:val="00955186"/>
    <w:rsid w:val="00985177"/>
    <w:rsid w:val="009C6605"/>
    <w:rsid w:val="00A36778"/>
    <w:rsid w:val="00A43108"/>
    <w:rsid w:val="00A6617C"/>
    <w:rsid w:val="00A74099"/>
    <w:rsid w:val="00BD1207"/>
    <w:rsid w:val="00BD40B3"/>
    <w:rsid w:val="00BD612C"/>
    <w:rsid w:val="00C8113E"/>
    <w:rsid w:val="00CD7040"/>
    <w:rsid w:val="00D10339"/>
    <w:rsid w:val="00D47EA1"/>
    <w:rsid w:val="00D7768F"/>
    <w:rsid w:val="00DF6B60"/>
    <w:rsid w:val="00E6025A"/>
    <w:rsid w:val="00E70FC2"/>
    <w:rsid w:val="00ED527B"/>
    <w:rsid w:val="00F04AF0"/>
    <w:rsid w:val="00F45DD5"/>
    <w:rsid w:val="00F804C7"/>
    <w:rsid w:val="00FB29EB"/>
    <w:rsid w:val="00FC0A6D"/>
    <w:rsid w:val="00FF18C8"/>
    <w:rsid w:val="00F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0E84"/>
  <w15:chartTrackingRefBased/>
  <w15:docId w15:val="{2AA87F78-8505-4E16-83FC-35678721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0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0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0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0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A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A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A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A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A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A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0A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0A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0A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0A6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154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54D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D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7AA"/>
  </w:style>
  <w:style w:type="paragraph" w:styleId="Stopka">
    <w:name w:val="footer"/>
    <w:basedOn w:val="Normalny"/>
    <w:link w:val="StopkaZnak"/>
    <w:uiPriority w:val="99"/>
    <w:unhideWhenUsed/>
    <w:rsid w:val="005D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7AA"/>
  </w:style>
  <w:style w:type="character" w:styleId="Odwoaniedokomentarza">
    <w:name w:val="annotation reference"/>
    <w:basedOn w:val="Domylnaczcionkaakapitu"/>
    <w:uiPriority w:val="99"/>
    <w:semiHidden/>
    <w:unhideWhenUsed/>
    <w:rsid w:val="00027F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7F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7F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F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F7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235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hrubieszow-gm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minahrubieszow.pl/urzad/dostepnosc/wniosek-o-zapewnienie-dostepnosci-osobom-ze-szczegolnymi-potrzebami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7356-02D6-4F20-B71E-3ACBADF0CE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2359</Words>
  <Characters>14158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obsługi osób ze szczególnymi potrzebami w Urzędzie Gminy Hrubieszów</vt:lpstr>
    </vt:vector>
  </TitlesOfParts>
  <Company/>
  <LinksUpToDate>false</LinksUpToDate>
  <CharactersWithSpaces>16485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obsługi osób ze szczególnymi potrzebami w Urzędzie Gminy Hrubieszów</dc:title>
  <dc:subject/>
  <dc:creator>2- Urząd Gminy Hrubieszów 2- Urząd Gminy Hrubieszów</dc:creator>
  <cp:keywords/>
  <dc:description/>
  <cp:lastModifiedBy>2- Urząd Gminy Hrubieszów 2- Urząd Gminy Hrubieszów</cp:lastModifiedBy>
  <cp:revision>3</cp:revision>
  <cp:lastPrinted>2025-12-02T10:32:00Z</cp:lastPrinted>
  <dcterms:created xsi:type="dcterms:W3CDTF">2025-12-19T12:25:00Z</dcterms:created>
  <dcterms:modified xsi:type="dcterms:W3CDTF">2025-12-19T12:48:00Z</dcterms:modified>
</cp:coreProperties>
</file>